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CC" w:rsidRPr="00114297" w:rsidRDefault="00AE31CC" w:rsidP="00F06508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  <w:r w:rsidRPr="00114297">
        <w:rPr>
          <w:rFonts w:ascii="Garamond" w:hAnsi="Garamond" w:cs="Times New Roman"/>
          <w:b/>
          <w:sz w:val="28"/>
          <w:szCs w:val="28"/>
        </w:rPr>
        <w:t>Strumenti di intervento per alunni con Bisogni Educativi Speciali</w:t>
      </w:r>
    </w:p>
    <w:p w:rsidR="00114297" w:rsidRPr="00114297" w:rsidRDefault="00114297" w:rsidP="00F06508">
      <w:pPr>
        <w:spacing w:after="0"/>
        <w:jc w:val="center"/>
        <w:rPr>
          <w:rFonts w:ascii="Garamond" w:hAnsi="Garamond" w:cs="Times New Roman"/>
          <w:b/>
          <w:sz w:val="32"/>
          <w:szCs w:val="32"/>
        </w:rPr>
      </w:pPr>
    </w:p>
    <w:p w:rsidR="00114297" w:rsidRPr="00114297" w:rsidRDefault="00114297" w:rsidP="00114297">
      <w:pPr>
        <w:shd w:val="clear" w:color="auto" w:fill="F1F1F1"/>
        <w:spacing w:after="180" w:line="240" w:lineRule="auto"/>
        <w:jc w:val="center"/>
        <w:rPr>
          <w:rFonts w:ascii="Garamond" w:eastAsia="Times New Roman" w:hAnsi="Garamond" w:cs="Arial"/>
          <w:color w:val="222222"/>
          <w:sz w:val="24"/>
          <w:szCs w:val="24"/>
          <w:lang w:eastAsia="it-IT"/>
        </w:rPr>
      </w:pPr>
      <w:r w:rsidRPr="00114297">
        <w:rPr>
          <w:rFonts w:ascii="Garamond" w:eastAsia="Times New Roman" w:hAnsi="Garamond" w:cs="Arial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2219325" cy="1470388"/>
            <wp:effectExtent l="19050" t="0" r="9525" b="0"/>
            <wp:docPr id="1" name="Immagine 1" descr="https://encrypted-tbn1.gstatic.com/images?q=tbn:ANd9GcS5IWilwIvZg26lJv6XhXAqhHMk_Cksfogbzbi3AE2-EOI_dA7jTw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5IWilwIvZg26lJv6XhXAqhHMk_Cksfogbzbi3AE2-EOI_dA7jTw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7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1CC" w:rsidRPr="00114297" w:rsidRDefault="00AE31CC" w:rsidP="00FD7B74">
      <w:pPr>
        <w:spacing w:after="0"/>
        <w:jc w:val="both"/>
        <w:rPr>
          <w:rFonts w:ascii="Garamond" w:hAnsi="Garamond" w:cs="Times New Roman"/>
          <w:sz w:val="28"/>
          <w:szCs w:val="28"/>
        </w:rPr>
      </w:pPr>
    </w:p>
    <w:p w:rsidR="00FD7B74" w:rsidRPr="00900E4B" w:rsidRDefault="00960A59" w:rsidP="00FD7B74">
      <w:pPr>
        <w:spacing w:after="0"/>
        <w:jc w:val="both"/>
        <w:rPr>
          <w:rFonts w:ascii="Garamond" w:hAnsi="Garamond" w:cs="Times New Roman"/>
          <w:sz w:val="28"/>
          <w:szCs w:val="28"/>
        </w:rPr>
      </w:pPr>
      <w:r w:rsidRPr="00900E4B">
        <w:rPr>
          <w:rFonts w:ascii="Garamond" w:hAnsi="Garamond" w:cs="Times New Roman"/>
          <w:sz w:val="28"/>
          <w:szCs w:val="28"/>
        </w:rPr>
        <w:t xml:space="preserve">Il 22 novembre </w:t>
      </w:r>
      <w:r w:rsidR="001B14C2" w:rsidRPr="00900E4B">
        <w:rPr>
          <w:rFonts w:ascii="Garamond" w:hAnsi="Garamond" w:cs="Times New Roman"/>
          <w:sz w:val="28"/>
          <w:szCs w:val="28"/>
        </w:rPr>
        <w:t>è stata emanata la nota del MIUR</w:t>
      </w:r>
      <w:r w:rsidRPr="00900E4B">
        <w:rPr>
          <w:rFonts w:ascii="Garamond" w:hAnsi="Garamond" w:cs="Times New Roman"/>
          <w:sz w:val="28"/>
          <w:szCs w:val="28"/>
        </w:rPr>
        <w:t xml:space="preserve"> </w:t>
      </w:r>
      <w:r w:rsidR="002954FB" w:rsidRPr="00900E4B">
        <w:rPr>
          <w:rFonts w:ascii="Garamond" w:hAnsi="Garamond" w:cs="Times New Roman"/>
          <w:sz w:val="28"/>
          <w:szCs w:val="28"/>
        </w:rPr>
        <w:t>n.</w:t>
      </w:r>
      <w:r w:rsidR="00FD7B74" w:rsidRPr="00900E4B">
        <w:rPr>
          <w:rFonts w:ascii="Garamond" w:hAnsi="Garamond" w:cs="Times New Roman"/>
          <w:sz w:val="28"/>
          <w:szCs w:val="28"/>
        </w:rPr>
        <w:t>2563</w:t>
      </w:r>
      <w:r w:rsidR="004A5536" w:rsidRPr="00900E4B">
        <w:rPr>
          <w:rFonts w:ascii="Garamond" w:hAnsi="Garamond" w:cs="Times New Roman"/>
          <w:sz w:val="28"/>
          <w:szCs w:val="28"/>
        </w:rPr>
        <w:t xml:space="preserve"> </w:t>
      </w:r>
      <w:r w:rsidR="00FD7B74" w:rsidRPr="00900E4B">
        <w:rPr>
          <w:rFonts w:ascii="Garamond" w:hAnsi="Garamond" w:cs="Times New Roman"/>
          <w:sz w:val="28"/>
          <w:szCs w:val="28"/>
        </w:rPr>
        <w:t xml:space="preserve">che </w:t>
      </w:r>
      <w:r w:rsidRPr="00900E4B">
        <w:rPr>
          <w:rFonts w:ascii="Garamond" w:hAnsi="Garamond" w:cs="Times New Roman"/>
          <w:sz w:val="28"/>
          <w:szCs w:val="28"/>
        </w:rPr>
        <w:t>correda</w:t>
      </w:r>
      <w:r w:rsidR="00FD7B74" w:rsidRPr="00900E4B">
        <w:rPr>
          <w:rFonts w:ascii="Garamond" w:hAnsi="Garamond" w:cs="Times New Roman"/>
          <w:sz w:val="28"/>
          <w:szCs w:val="28"/>
        </w:rPr>
        <w:t xml:space="preserve"> </w:t>
      </w:r>
      <w:r w:rsidRPr="00900E4B">
        <w:rPr>
          <w:rFonts w:ascii="Garamond" w:hAnsi="Garamond" w:cs="Times New Roman"/>
          <w:sz w:val="28"/>
          <w:szCs w:val="28"/>
        </w:rPr>
        <w:t xml:space="preserve">le </w:t>
      </w:r>
      <w:r w:rsidR="00FD7B74" w:rsidRPr="00900E4B">
        <w:rPr>
          <w:rFonts w:ascii="Garamond" w:hAnsi="Garamond" w:cs="Times New Roman"/>
          <w:sz w:val="28"/>
          <w:szCs w:val="28"/>
        </w:rPr>
        <w:t xml:space="preserve">indicazioni </w:t>
      </w:r>
      <w:r w:rsidRPr="00900E4B">
        <w:rPr>
          <w:rFonts w:ascii="Garamond" w:hAnsi="Garamond" w:cs="Times New Roman"/>
          <w:sz w:val="28"/>
          <w:szCs w:val="28"/>
        </w:rPr>
        <w:t>relative alla D</w:t>
      </w:r>
      <w:r w:rsidR="00FD7B74" w:rsidRPr="00900E4B">
        <w:rPr>
          <w:rFonts w:ascii="Garamond" w:hAnsi="Garamond" w:cs="Times New Roman"/>
          <w:sz w:val="28"/>
          <w:szCs w:val="28"/>
        </w:rPr>
        <w:t xml:space="preserve">irettiva del 27 dicembre 2012 </w:t>
      </w:r>
      <w:r w:rsidR="00FD7B74" w:rsidRPr="00900E4B">
        <w:rPr>
          <w:rFonts w:ascii="Garamond" w:hAnsi="Garamond" w:cs="Times New Roman"/>
          <w:i/>
          <w:sz w:val="28"/>
          <w:szCs w:val="28"/>
        </w:rPr>
        <w:t>“Strumenti d’intervento per alunni con Bisogni Educativi Speciali e organizzazione territoriale sull’inclusione”</w:t>
      </w:r>
      <w:r w:rsidR="00FD7B74" w:rsidRPr="00900E4B">
        <w:rPr>
          <w:rFonts w:ascii="Garamond" w:hAnsi="Garamond" w:cs="Times New Roman"/>
          <w:sz w:val="28"/>
          <w:szCs w:val="28"/>
        </w:rPr>
        <w:t xml:space="preserve"> sulla base, come si </w:t>
      </w:r>
      <w:r w:rsidRPr="00900E4B">
        <w:rPr>
          <w:rFonts w:ascii="Garamond" w:hAnsi="Garamond" w:cs="Times New Roman"/>
          <w:sz w:val="28"/>
          <w:szCs w:val="28"/>
        </w:rPr>
        <w:t>deduce</w:t>
      </w:r>
      <w:r w:rsidR="002954FB" w:rsidRPr="00900E4B">
        <w:rPr>
          <w:rFonts w:ascii="Garamond" w:hAnsi="Garamond" w:cs="Times New Roman"/>
          <w:sz w:val="28"/>
          <w:szCs w:val="28"/>
        </w:rPr>
        <w:t xml:space="preserve"> dalla circolare, «</w:t>
      </w:r>
      <w:r w:rsidR="00FD7B74" w:rsidRPr="00900E4B">
        <w:rPr>
          <w:rFonts w:ascii="Garamond" w:hAnsi="Garamond" w:cs="Times New Roman"/>
          <w:sz w:val="28"/>
          <w:szCs w:val="28"/>
        </w:rPr>
        <w:t>delle richieste pervenute dalle scuole e dalle esigenze rappresentate dal personale docente e dai dirigenti scolastici</w:t>
      </w:r>
      <w:r w:rsidR="002954FB" w:rsidRPr="00900E4B">
        <w:rPr>
          <w:rFonts w:ascii="Garamond" w:hAnsi="Garamond" w:cs="Times New Roman"/>
          <w:sz w:val="28"/>
          <w:szCs w:val="28"/>
        </w:rPr>
        <w:t>»</w:t>
      </w:r>
      <w:r w:rsidR="00FD7B74" w:rsidRPr="00900E4B">
        <w:rPr>
          <w:rFonts w:ascii="Garamond" w:hAnsi="Garamond" w:cs="Times New Roman"/>
          <w:sz w:val="28"/>
          <w:szCs w:val="28"/>
        </w:rPr>
        <w:t xml:space="preserve">. </w:t>
      </w:r>
    </w:p>
    <w:p w:rsidR="00C07471" w:rsidRPr="00900E4B" w:rsidRDefault="002954FB" w:rsidP="00FD7B74">
      <w:pPr>
        <w:spacing w:after="0"/>
        <w:jc w:val="both"/>
        <w:rPr>
          <w:rFonts w:ascii="Garamond" w:hAnsi="Garamond" w:cs="Times New Roman"/>
          <w:sz w:val="28"/>
          <w:szCs w:val="28"/>
        </w:rPr>
      </w:pPr>
      <w:r w:rsidRPr="00900E4B">
        <w:rPr>
          <w:rFonts w:ascii="Garamond" w:hAnsi="Garamond" w:cs="Times New Roman"/>
          <w:sz w:val="28"/>
          <w:szCs w:val="28"/>
        </w:rPr>
        <w:t>«</w:t>
      </w:r>
      <w:r w:rsidR="00C07471" w:rsidRPr="00900E4B">
        <w:rPr>
          <w:rFonts w:ascii="Garamond" w:hAnsi="Garamond" w:cs="Times New Roman"/>
          <w:sz w:val="28"/>
          <w:szCs w:val="28"/>
        </w:rPr>
        <w:t xml:space="preserve">La Direttiva ha voluto anzitutto fornire tutela a tutte quelle situazioni in cui è presente un disturbo clinicamente fondato, diagnosticabile ma non ricadente nelle previsioni della Legge 104/92 né in quelle della Legge 170/2010. In secondo luogo si sono volute ricomprendere altre situazioni che si pongono comunque oltre l´ordinaria difficoltà di apprendimento, per le quali dagli stessi insegnanti sono stati richiesti strumenti di flessibilità da impiegare nell´azione </w:t>
      </w:r>
      <w:proofErr w:type="spellStart"/>
      <w:r w:rsidR="00C07471" w:rsidRPr="00900E4B">
        <w:rPr>
          <w:rFonts w:ascii="Garamond" w:hAnsi="Garamond" w:cs="Times New Roman"/>
          <w:sz w:val="28"/>
          <w:szCs w:val="28"/>
        </w:rPr>
        <w:t>educativo-didattica</w:t>
      </w:r>
      <w:proofErr w:type="spellEnd"/>
      <w:r w:rsidRPr="00900E4B">
        <w:rPr>
          <w:rFonts w:ascii="Garamond" w:hAnsi="Garamond" w:cs="Times New Roman"/>
          <w:sz w:val="28"/>
          <w:szCs w:val="28"/>
        </w:rPr>
        <w:t>»</w:t>
      </w:r>
      <w:r w:rsidR="00C07471" w:rsidRPr="00900E4B">
        <w:rPr>
          <w:rFonts w:ascii="Garamond" w:hAnsi="Garamond" w:cs="Times New Roman"/>
          <w:sz w:val="28"/>
          <w:szCs w:val="28"/>
        </w:rPr>
        <w:t>.</w:t>
      </w:r>
    </w:p>
    <w:p w:rsidR="00C07471" w:rsidRPr="00900E4B" w:rsidRDefault="00C07471" w:rsidP="00FD7B74">
      <w:pPr>
        <w:spacing w:after="0"/>
        <w:jc w:val="both"/>
        <w:rPr>
          <w:rFonts w:ascii="Garamond" w:hAnsi="Garamond" w:cs="Times New Roman"/>
          <w:sz w:val="28"/>
          <w:szCs w:val="28"/>
        </w:rPr>
      </w:pPr>
      <w:r w:rsidRPr="00900E4B">
        <w:rPr>
          <w:rFonts w:ascii="Garamond" w:hAnsi="Garamond" w:cs="Times New Roman"/>
          <w:sz w:val="28"/>
          <w:szCs w:val="28"/>
        </w:rPr>
        <w:t xml:space="preserve">Il MIUR, inoltre, chiarisce che soltanto quando i Consigli di classe o i team docenti siano unanimemente concordi nel valutare l´efficacia di ulteriori strumenti - in presenza di richieste dei genitori accompagnate da diagnosi che però non hanno dato diritto alla certificazione di disabilità o nel caso di difficoltà non meglio specificate - questo potrà indurre all´adozione di un piano personalizzato, con eventuali misure compensative e/o </w:t>
      </w:r>
      <w:proofErr w:type="spellStart"/>
      <w:r w:rsidRPr="00900E4B">
        <w:rPr>
          <w:rFonts w:ascii="Garamond" w:hAnsi="Garamond" w:cs="Times New Roman"/>
          <w:sz w:val="28"/>
          <w:szCs w:val="28"/>
        </w:rPr>
        <w:t>dispensative</w:t>
      </w:r>
      <w:proofErr w:type="spellEnd"/>
      <w:r w:rsidRPr="00900E4B">
        <w:rPr>
          <w:rFonts w:ascii="Garamond" w:hAnsi="Garamond" w:cs="Times New Roman"/>
          <w:sz w:val="28"/>
          <w:szCs w:val="28"/>
        </w:rPr>
        <w:t>, e quindi alla compilazione di un PDP. Non è compito della scuola certificare gli alunni con bisogni educativi speciali, ma individuare quelli per i quali è opportuna e necessaria l´adozione di particolari strategie didattiche.</w:t>
      </w:r>
    </w:p>
    <w:p w:rsidR="00C07471" w:rsidRPr="00900E4B" w:rsidRDefault="00C07471" w:rsidP="00C07471">
      <w:pPr>
        <w:spacing w:after="0"/>
        <w:jc w:val="both"/>
        <w:rPr>
          <w:rFonts w:ascii="Garamond" w:hAnsi="Garamond" w:cs="Times New Roman"/>
          <w:sz w:val="28"/>
          <w:szCs w:val="28"/>
        </w:rPr>
      </w:pPr>
      <w:r w:rsidRPr="00900E4B">
        <w:rPr>
          <w:rFonts w:ascii="Garamond" w:hAnsi="Garamond" w:cs="Times New Roman"/>
          <w:sz w:val="28"/>
          <w:szCs w:val="28"/>
        </w:rPr>
        <w:t>Massima autonomia di giudizio deve pertanto essere riconosciuta ai docenti di fronte a diagnosi che non portino a certificazioni di disabilità e DSA (disturbi specifici dell´apprendimento).  La nota riconosce la professionalità dei docenti a cui è demandata la scelta responsabile degli strumenti di interventi.</w:t>
      </w:r>
    </w:p>
    <w:p w:rsidR="00C07471" w:rsidRPr="00900E4B" w:rsidRDefault="00C07471" w:rsidP="00C07471">
      <w:pPr>
        <w:spacing w:after="0"/>
        <w:jc w:val="both"/>
        <w:rPr>
          <w:rFonts w:ascii="Garamond" w:hAnsi="Garamond" w:cs="Times New Roman"/>
          <w:sz w:val="28"/>
          <w:szCs w:val="28"/>
        </w:rPr>
      </w:pPr>
      <w:r w:rsidRPr="00900E4B">
        <w:rPr>
          <w:rFonts w:ascii="Garamond" w:hAnsi="Garamond" w:cs="Times New Roman"/>
          <w:sz w:val="28"/>
          <w:szCs w:val="28"/>
        </w:rPr>
        <w:t>«Si ribadisce che, anche in presenza di richieste dei genitori accompagnate da diagnosi che però non hanno dato diritto alla certificazione di disabilità o di DSA, il Consiglio di classe è autonomo nel decidere se formulare o non formulare un Piano Didattico Personalizzato, avendo cura di verbalizzare le motivazioni della decisione».</w:t>
      </w:r>
    </w:p>
    <w:p w:rsidR="002954FB" w:rsidRPr="00900E4B" w:rsidRDefault="00C07471" w:rsidP="00FD7B74">
      <w:pPr>
        <w:spacing w:after="0"/>
        <w:jc w:val="both"/>
        <w:rPr>
          <w:rFonts w:ascii="Garamond" w:hAnsi="Garamond" w:cs="Times New Roman"/>
          <w:sz w:val="28"/>
          <w:szCs w:val="28"/>
        </w:rPr>
      </w:pPr>
      <w:r w:rsidRPr="00900E4B">
        <w:rPr>
          <w:rFonts w:ascii="Garamond" w:hAnsi="Garamond" w:cs="Times New Roman"/>
          <w:sz w:val="28"/>
          <w:szCs w:val="28"/>
        </w:rPr>
        <w:t>La Nota</w:t>
      </w:r>
      <w:r w:rsidR="00782F29" w:rsidRPr="00900E4B">
        <w:rPr>
          <w:rFonts w:ascii="Garamond" w:hAnsi="Garamond" w:cs="Times New Roman"/>
          <w:sz w:val="28"/>
          <w:szCs w:val="28"/>
        </w:rPr>
        <w:t xml:space="preserve">, </w:t>
      </w:r>
      <w:r w:rsidRPr="00900E4B">
        <w:rPr>
          <w:rFonts w:ascii="Garamond" w:hAnsi="Garamond" w:cs="Times New Roman"/>
          <w:sz w:val="28"/>
          <w:szCs w:val="28"/>
        </w:rPr>
        <w:t>ancora</w:t>
      </w:r>
      <w:r w:rsidR="00782F29" w:rsidRPr="00900E4B">
        <w:rPr>
          <w:rFonts w:ascii="Garamond" w:hAnsi="Garamond" w:cs="Times New Roman"/>
          <w:sz w:val="28"/>
          <w:szCs w:val="28"/>
        </w:rPr>
        <w:t>,</w:t>
      </w:r>
      <w:r w:rsidR="00FD7B74" w:rsidRPr="00900E4B">
        <w:rPr>
          <w:rFonts w:ascii="Garamond" w:hAnsi="Garamond" w:cs="Times New Roman"/>
          <w:sz w:val="28"/>
          <w:szCs w:val="28"/>
        </w:rPr>
        <w:t xml:space="preserve"> </w:t>
      </w:r>
      <w:r w:rsidR="00A8266E" w:rsidRPr="00900E4B">
        <w:rPr>
          <w:rFonts w:ascii="Garamond" w:hAnsi="Garamond" w:cs="Times New Roman"/>
          <w:sz w:val="28"/>
          <w:szCs w:val="28"/>
        </w:rPr>
        <w:t>rafforza quanto già stabilito con la Circolare Ministeriale n.8 del 2013 in merito a</w:t>
      </w:r>
      <w:r w:rsidR="00FD7B74" w:rsidRPr="00900E4B">
        <w:rPr>
          <w:rFonts w:ascii="Garamond" w:hAnsi="Garamond" w:cs="Times New Roman"/>
          <w:sz w:val="28"/>
          <w:szCs w:val="28"/>
        </w:rPr>
        <w:t>gli alunni con cittadinanza non italia</w:t>
      </w:r>
      <w:r w:rsidR="00782F29" w:rsidRPr="00900E4B">
        <w:rPr>
          <w:rFonts w:ascii="Garamond" w:hAnsi="Garamond" w:cs="Times New Roman"/>
          <w:sz w:val="28"/>
          <w:szCs w:val="28"/>
        </w:rPr>
        <w:t xml:space="preserve">na </w:t>
      </w:r>
      <w:r w:rsidR="00A8266E" w:rsidRPr="00900E4B">
        <w:rPr>
          <w:rFonts w:ascii="Garamond" w:hAnsi="Garamond" w:cs="Times New Roman"/>
          <w:sz w:val="28"/>
          <w:szCs w:val="28"/>
        </w:rPr>
        <w:t>puntualizzando che gl</w:t>
      </w:r>
      <w:r w:rsidR="00782F29" w:rsidRPr="00900E4B">
        <w:rPr>
          <w:rFonts w:ascii="Garamond" w:hAnsi="Garamond" w:cs="Times New Roman"/>
          <w:sz w:val="28"/>
          <w:szCs w:val="28"/>
        </w:rPr>
        <w:t xml:space="preserve">i interventi didattici </w:t>
      </w:r>
      <w:r w:rsidR="00A8266E" w:rsidRPr="00900E4B">
        <w:rPr>
          <w:rFonts w:ascii="Garamond" w:hAnsi="Garamond" w:cs="Times New Roman"/>
          <w:sz w:val="28"/>
          <w:szCs w:val="28"/>
        </w:rPr>
        <w:lastRenderedPageBreak/>
        <w:t xml:space="preserve">devono essere mirati </w:t>
      </w:r>
      <w:r w:rsidR="00782F29" w:rsidRPr="00900E4B">
        <w:rPr>
          <w:rFonts w:ascii="Garamond" w:hAnsi="Garamond" w:cs="Times New Roman"/>
          <w:sz w:val="28"/>
          <w:szCs w:val="28"/>
        </w:rPr>
        <w:t>all’apprendimento della lingua e solo in via eccezionale della fo</w:t>
      </w:r>
      <w:r w:rsidR="00A8266E" w:rsidRPr="00900E4B">
        <w:rPr>
          <w:rFonts w:ascii="Garamond" w:hAnsi="Garamond" w:cs="Times New Roman"/>
          <w:sz w:val="28"/>
          <w:szCs w:val="28"/>
        </w:rPr>
        <w:t>rmalizzazione tramite un Piano Didattico P</w:t>
      </w:r>
      <w:r w:rsidR="00782F29" w:rsidRPr="00900E4B">
        <w:rPr>
          <w:rFonts w:ascii="Garamond" w:hAnsi="Garamond" w:cs="Times New Roman"/>
          <w:sz w:val="28"/>
          <w:szCs w:val="28"/>
        </w:rPr>
        <w:t>ersonalizzato</w:t>
      </w:r>
      <w:r w:rsidR="00FD7B74" w:rsidRPr="00900E4B">
        <w:rPr>
          <w:rFonts w:ascii="Garamond" w:hAnsi="Garamond" w:cs="Times New Roman"/>
          <w:sz w:val="28"/>
          <w:szCs w:val="28"/>
        </w:rPr>
        <w:t xml:space="preserve">. </w:t>
      </w:r>
    </w:p>
    <w:p w:rsidR="00C70A41" w:rsidRPr="00900E4B" w:rsidRDefault="00FD7B74" w:rsidP="00FD7B74">
      <w:pPr>
        <w:spacing w:after="0"/>
        <w:jc w:val="both"/>
        <w:rPr>
          <w:rFonts w:ascii="Garamond" w:hAnsi="Garamond" w:cs="Times New Roman"/>
          <w:sz w:val="28"/>
          <w:szCs w:val="28"/>
        </w:rPr>
      </w:pPr>
      <w:r w:rsidRPr="00900E4B">
        <w:rPr>
          <w:rFonts w:ascii="Garamond" w:hAnsi="Garamond" w:cs="Times New Roman"/>
          <w:sz w:val="28"/>
          <w:szCs w:val="28"/>
        </w:rPr>
        <w:t xml:space="preserve">Il Piano </w:t>
      </w:r>
      <w:r w:rsidR="00A8266E" w:rsidRPr="00900E4B">
        <w:rPr>
          <w:rFonts w:ascii="Garamond" w:hAnsi="Garamond" w:cs="Times New Roman"/>
          <w:sz w:val="28"/>
          <w:szCs w:val="28"/>
        </w:rPr>
        <w:t>Annuale per l’</w:t>
      </w:r>
      <w:proofErr w:type="spellStart"/>
      <w:r w:rsidR="00A8266E" w:rsidRPr="00900E4B">
        <w:rPr>
          <w:rFonts w:ascii="Garamond" w:hAnsi="Garamond" w:cs="Times New Roman"/>
          <w:sz w:val="28"/>
          <w:szCs w:val="28"/>
        </w:rPr>
        <w:t>I</w:t>
      </w:r>
      <w:r w:rsidRPr="00900E4B">
        <w:rPr>
          <w:rFonts w:ascii="Garamond" w:hAnsi="Garamond" w:cs="Times New Roman"/>
          <w:sz w:val="28"/>
          <w:szCs w:val="28"/>
        </w:rPr>
        <w:t>nclusività</w:t>
      </w:r>
      <w:proofErr w:type="spellEnd"/>
      <w:r w:rsidRPr="00900E4B">
        <w:rPr>
          <w:rFonts w:ascii="Garamond" w:hAnsi="Garamond" w:cs="Times New Roman"/>
          <w:sz w:val="28"/>
          <w:szCs w:val="28"/>
        </w:rPr>
        <w:t>, chiariscono da Viale Trastevere, deve essere inteso come un momento di riflessione di tutta la comunità educante, non come un ulteriore adempimento burocratico, ma qua</w:t>
      </w:r>
      <w:r w:rsidR="00A8266E" w:rsidRPr="00900E4B">
        <w:rPr>
          <w:rFonts w:ascii="Garamond" w:hAnsi="Garamond" w:cs="Times New Roman"/>
          <w:sz w:val="28"/>
          <w:szCs w:val="28"/>
        </w:rPr>
        <w:t>le integrazione del Piano dell’Offerta F</w:t>
      </w:r>
      <w:r w:rsidRPr="00900E4B">
        <w:rPr>
          <w:rFonts w:ascii="Garamond" w:hAnsi="Garamond" w:cs="Times New Roman"/>
          <w:sz w:val="28"/>
          <w:szCs w:val="28"/>
        </w:rPr>
        <w:t xml:space="preserve">ormativa, di cui è parte sostanziale. Le indicazioni </w:t>
      </w:r>
      <w:r w:rsidR="00A8266E" w:rsidRPr="00900E4B">
        <w:rPr>
          <w:rFonts w:ascii="Garamond" w:hAnsi="Garamond" w:cs="Times New Roman"/>
          <w:sz w:val="28"/>
          <w:szCs w:val="28"/>
        </w:rPr>
        <w:t xml:space="preserve">inerenti le </w:t>
      </w:r>
      <w:r w:rsidRPr="00900E4B">
        <w:rPr>
          <w:rFonts w:ascii="Garamond" w:hAnsi="Garamond" w:cs="Times New Roman"/>
          <w:sz w:val="28"/>
          <w:szCs w:val="28"/>
        </w:rPr>
        <w:t>modalità organizzative della scuola, incluso il gruppo di lavoro per l’</w:t>
      </w:r>
      <w:proofErr w:type="spellStart"/>
      <w:r w:rsidRPr="00900E4B">
        <w:rPr>
          <w:rFonts w:ascii="Garamond" w:hAnsi="Garamond" w:cs="Times New Roman"/>
          <w:sz w:val="28"/>
          <w:szCs w:val="28"/>
        </w:rPr>
        <w:t>inclusività</w:t>
      </w:r>
      <w:proofErr w:type="spellEnd"/>
      <w:r w:rsidRPr="00900E4B">
        <w:rPr>
          <w:rFonts w:ascii="Garamond" w:hAnsi="Garamond" w:cs="Times New Roman"/>
          <w:sz w:val="28"/>
          <w:szCs w:val="28"/>
        </w:rPr>
        <w:t xml:space="preserve">, sono da </w:t>
      </w:r>
      <w:r w:rsidR="00A8266E" w:rsidRPr="00900E4B">
        <w:rPr>
          <w:rFonts w:ascii="Garamond" w:hAnsi="Garamond" w:cs="Times New Roman"/>
          <w:sz w:val="28"/>
          <w:szCs w:val="28"/>
        </w:rPr>
        <w:t xml:space="preserve">considerarsi </w:t>
      </w:r>
      <w:r w:rsidRPr="00900E4B">
        <w:rPr>
          <w:rFonts w:ascii="Garamond" w:hAnsi="Garamond" w:cs="Times New Roman"/>
          <w:sz w:val="28"/>
          <w:szCs w:val="28"/>
        </w:rPr>
        <w:t xml:space="preserve">come suggerimenti operativi. In </w:t>
      </w:r>
      <w:r w:rsidR="00A8266E" w:rsidRPr="00900E4B">
        <w:rPr>
          <w:rFonts w:ascii="Garamond" w:hAnsi="Garamond" w:cs="Times New Roman"/>
          <w:sz w:val="28"/>
          <w:szCs w:val="28"/>
        </w:rPr>
        <w:t xml:space="preserve">riferimento </w:t>
      </w:r>
      <w:r w:rsidRPr="00900E4B">
        <w:rPr>
          <w:rFonts w:ascii="Garamond" w:hAnsi="Garamond" w:cs="Times New Roman"/>
          <w:sz w:val="28"/>
          <w:szCs w:val="28"/>
        </w:rPr>
        <w:t xml:space="preserve">alle riunioni del gruppo, le scuole definiranno tempi e modalità degli incontri anche sulla base di un congruo periodo di osservazione degli alunni in ingresso.  </w:t>
      </w:r>
    </w:p>
    <w:p w:rsidR="00BD3292" w:rsidRPr="00900E4B" w:rsidRDefault="00BD3292" w:rsidP="00FD7B74">
      <w:pPr>
        <w:spacing w:after="0"/>
        <w:jc w:val="both"/>
        <w:rPr>
          <w:rFonts w:ascii="Garamond" w:hAnsi="Garamond" w:cs="Times New Roman"/>
          <w:sz w:val="28"/>
          <w:szCs w:val="28"/>
        </w:rPr>
      </w:pPr>
      <w:r w:rsidRPr="00900E4B">
        <w:rPr>
          <w:rFonts w:ascii="Garamond" w:hAnsi="Garamond" w:cs="Times New Roman"/>
          <w:sz w:val="28"/>
          <w:szCs w:val="28"/>
        </w:rPr>
        <w:t xml:space="preserve">«Bisogno Educativo Speciale non è una diagnosi clinica, ma una dimensione </w:t>
      </w:r>
      <w:proofErr w:type="spellStart"/>
      <w:r w:rsidRPr="00900E4B">
        <w:rPr>
          <w:rFonts w:ascii="Garamond" w:hAnsi="Garamond" w:cs="Times New Roman"/>
          <w:sz w:val="28"/>
          <w:szCs w:val="28"/>
        </w:rPr>
        <w:t>pedagogico-politica</w:t>
      </w:r>
      <w:proofErr w:type="spellEnd"/>
      <w:r w:rsidRPr="00900E4B">
        <w:rPr>
          <w:rFonts w:ascii="Garamond" w:hAnsi="Garamond" w:cs="Times New Roman"/>
          <w:sz w:val="28"/>
          <w:szCs w:val="28"/>
        </w:rPr>
        <w:t xml:space="preserve">. Il  concetto  di  Bisogno  Educativo Speciale  è,  a  mio  modo  di  vedere,  una  macrocategoria  che  comprende  dentro  di  sé  tutte  le possibili  difficoltà  </w:t>
      </w:r>
      <w:proofErr w:type="spellStart"/>
      <w:r w:rsidRPr="00900E4B">
        <w:rPr>
          <w:rFonts w:ascii="Garamond" w:hAnsi="Garamond" w:cs="Times New Roman"/>
          <w:sz w:val="28"/>
          <w:szCs w:val="28"/>
        </w:rPr>
        <w:t>educative-apprenditive</w:t>
      </w:r>
      <w:proofErr w:type="spellEnd"/>
      <w:r w:rsidRPr="00900E4B">
        <w:rPr>
          <w:rFonts w:ascii="Garamond" w:hAnsi="Garamond" w:cs="Times New Roman"/>
          <w:sz w:val="28"/>
          <w:szCs w:val="28"/>
        </w:rPr>
        <w:t xml:space="preserve">  degli  alunni,  sia  le  situazioni  considerate tradizionalmente  come  disabilità  mentale,  fisica,  sensoriale,  sia  quelle  di  deficit  in  specifici apprendimenti clinicamente significative, la dislessia, il disturbo da deficit </w:t>
      </w:r>
      <w:proofErr w:type="spellStart"/>
      <w:r w:rsidRPr="00900E4B">
        <w:rPr>
          <w:rFonts w:ascii="Garamond" w:hAnsi="Garamond" w:cs="Times New Roman"/>
          <w:sz w:val="28"/>
          <w:szCs w:val="28"/>
        </w:rPr>
        <w:t>attentivo</w:t>
      </w:r>
      <w:proofErr w:type="spellEnd"/>
      <w:r w:rsidRPr="00900E4B">
        <w:rPr>
          <w:rFonts w:ascii="Garamond" w:hAnsi="Garamond" w:cs="Times New Roman"/>
          <w:sz w:val="28"/>
          <w:szCs w:val="28"/>
        </w:rPr>
        <w:t xml:space="preserve">, </w:t>
      </w:r>
      <w:r w:rsidR="00114297" w:rsidRPr="00900E4B">
        <w:rPr>
          <w:rFonts w:ascii="Garamond" w:hAnsi="Garamond" w:cs="Times New Roman"/>
          <w:sz w:val="28"/>
          <w:szCs w:val="28"/>
        </w:rPr>
        <w:t>a</w:t>
      </w:r>
      <w:r w:rsidRPr="00900E4B">
        <w:rPr>
          <w:rFonts w:ascii="Garamond" w:hAnsi="Garamond" w:cs="Times New Roman"/>
          <w:sz w:val="28"/>
          <w:szCs w:val="28"/>
        </w:rPr>
        <w:t xml:space="preserve">d esempio, e altre varie situazioni di problematicità psicologica, comportamentale, relazionale, </w:t>
      </w:r>
      <w:proofErr w:type="spellStart"/>
      <w:r w:rsidRPr="00900E4B">
        <w:rPr>
          <w:rFonts w:ascii="Garamond" w:hAnsi="Garamond" w:cs="Times New Roman"/>
          <w:sz w:val="28"/>
          <w:szCs w:val="28"/>
        </w:rPr>
        <w:t>apprenditiva</w:t>
      </w:r>
      <w:proofErr w:type="spellEnd"/>
      <w:r w:rsidRPr="00900E4B">
        <w:rPr>
          <w:rFonts w:ascii="Garamond" w:hAnsi="Garamond" w:cs="Times New Roman"/>
          <w:sz w:val="28"/>
          <w:szCs w:val="28"/>
        </w:rPr>
        <w:t xml:space="preserve">, di contesto socio-culturale, ecc. Tutte queste situazioni sono diversissime tra di loro, ma nella loro clamorosa diversità c’è però un  dato  che  le  avvicina,  e  che  le  rende,  a  mio  avviso,  sostanzialmente  uguali  nel  loro  diritto  a ricevere  un’attenzione  </w:t>
      </w:r>
      <w:proofErr w:type="spellStart"/>
      <w:r w:rsidRPr="00900E4B">
        <w:rPr>
          <w:rFonts w:ascii="Garamond" w:hAnsi="Garamond" w:cs="Times New Roman"/>
          <w:sz w:val="28"/>
          <w:szCs w:val="28"/>
        </w:rPr>
        <w:t>educativo-didattica</w:t>
      </w:r>
      <w:proofErr w:type="spellEnd"/>
      <w:r w:rsidRPr="00900E4B">
        <w:rPr>
          <w:rFonts w:ascii="Garamond" w:hAnsi="Garamond" w:cs="Times New Roman"/>
          <w:sz w:val="28"/>
          <w:szCs w:val="28"/>
        </w:rPr>
        <w:t xml:space="preserve">  sufficientemente  individualizzata  ed  efficace:  tutte questi  alunni  hanno  un  funzionamento  per  qualche  aspetto  problematico,  che  rende  loro  più difficile trovare una risposta adeguata ai propri bisogni»</w:t>
      </w:r>
      <w:r w:rsidR="00BC078A" w:rsidRPr="00900E4B">
        <w:rPr>
          <w:rFonts w:ascii="Garamond" w:hAnsi="Garamond" w:cs="Times New Roman"/>
          <w:sz w:val="28"/>
          <w:szCs w:val="28"/>
        </w:rPr>
        <w:t xml:space="preserve"> (</w:t>
      </w:r>
      <w:proofErr w:type="spellStart"/>
      <w:r w:rsidR="00BC078A" w:rsidRPr="00900E4B">
        <w:rPr>
          <w:rFonts w:ascii="Garamond" w:hAnsi="Garamond" w:cs="Times New Roman"/>
          <w:sz w:val="28"/>
          <w:szCs w:val="28"/>
        </w:rPr>
        <w:t>Ianes</w:t>
      </w:r>
      <w:proofErr w:type="spellEnd"/>
      <w:r w:rsidR="00BC078A" w:rsidRPr="00900E4B">
        <w:rPr>
          <w:rFonts w:ascii="Garamond" w:hAnsi="Garamond" w:cs="Times New Roman"/>
          <w:sz w:val="28"/>
          <w:szCs w:val="28"/>
        </w:rPr>
        <w:t>)</w:t>
      </w:r>
      <w:r w:rsidRPr="00900E4B">
        <w:rPr>
          <w:rFonts w:ascii="Garamond" w:hAnsi="Garamond" w:cs="Times New Roman"/>
          <w:sz w:val="28"/>
          <w:szCs w:val="28"/>
        </w:rPr>
        <w:t>.</w:t>
      </w:r>
    </w:p>
    <w:p w:rsidR="002954FB" w:rsidRPr="00114297" w:rsidRDefault="002954FB" w:rsidP="00FD7B74">
      <w:pPr>
        <w:spacing w:after="0"/>
        <w:jc w:val="both"/>
        <w:rPr>
          <w:rFonts w:ascii="Garamond" w:hAnsi="Garamond" w:cs="Times New Roman"/>
          <w:sz w:val="28"/>
          <w:szCs w:val="28"/>
        </w:rPr>
      </w:pPr>
    </w:p>
    <w:p w:rsidR="00497A88" w:rsidRPr="0003703B" w:rsidRDefault="00E5381E" w:rsidP="00FD7B74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  <w:r w:rsidRPr="0003703B">
        <w:rPr>
          <w:rFonts w:ascii="Garamond" w:hAnsi="Garamond" w:cs="Times New Roman"/>
          <w:b/>
          <w:sz w:val="28"/>
          <w:szCs w:val="28"/>
        </w:rPr>
        <w:t>Quali strumenti d’intervento</w:t>
      </w:r>
      <w:r w:rsidR="00323F32" w:rsidRPr="0003703B">
        <w:rPr>
          <w:rFonts w:ascii="Garamond" w:hAnsi="Garamond" w:cs="Times New Roman"/>
          <w:b/>
          <w:sz w:val="28"/>
          <w:szCs w:val="28"/>
        </w:rPr>
        <w:t xml:space="preserve"> la geografia</w:t>
      </w:r>
      <w:r w:rsidRPr="0003703B">
        <w:rPr>
          <w:rFonts w:ascii="Garamond" w:hAnsi="Garamond" w:cs="Times New Roman"/>
          <w:b/>
          <w:sz w:val="28"/>
          <w:szCs w:val="28"/>
        </w:rPr>
        <w:t xml:space="preserve"> può mettere in pratica?</w:t>
      </w:r>
    </w:p>
    <w:p w:rsidR="00D234C2" w:rsidRPr="0003703B" w:rsidRDefault="00D234C2" w:rsidP="00FD7B74">
      <w:pPr>
        <w:spacing w:after="0"/>
        <w:jc w:val="both"/>
        <w:rPr>
          <w:rFonts w:ascii="Garamond" w:hAnsi="Garamond" w:cs="Times New Roman"/>
          <w:b/>
          <w:color w:val="00B050"/>
          <w:sz w:val="28"/>
          <w:szCs w:val="28"/>
        </w:rPr>
      </w:pPr>
      <w:r w:rsidRPr="0003703B">
        <w:rPr>
          <w:rFonts w:ascii="Garamond" w:hAnsi="Garamond" w:cs="Times New Roman"/>
          <w:b/>
          <w:color w:val="00B050"/>
          <w:sz w:val="28"/>
          <w:szCs w:val="28"/>
        </w:rPr>
        <w:t xml:space="preserve">- </w:t>
      </w:r>
      <w:r w:rsidR="000139BD" w:rsidRPr="0003703B">
        <w:rPr>
          <w:rFonts w:ascii="Garamond" w:hAnsi="Garamond" w:cs="Times New Roman"/>
          <w:b/>
          <w:color w:val="00B050"/>
          <w:sz w:val="28"/>
          <w:szCs w:val="28"/>
        </w:rPr>
        <w:t>A</w:t>
      </w:r>
      <w:r w:rsidRPr="0003703B">
        <w:rPr>
          <w:rFonts w:ascii="Garamond" w:hAnsi="Garamond" w:cs="Times New Roman"/>
          <w:b/>
          <w:color w:val="00B050"/>
          <w:sz w:val="28"/>
          <w:szCs w:val="28"/>
        </w:rPr>
        <w:t>vvicinarsi a un’educazione del fare, dove le mani dell’allievo diventano il contatto con la terra-mondo;</w:t>
      </w:r>
    </w:p>
    <w:p w:rsidR="00D234C2" w:rsidRPr="0003703B" w:rsidRDefault="00D234C2" w:rsidP="00FD7B74">
      <w:pPr>
        <w:spacing w:after="0"/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 w:rsidRPr="0003703B">
        <w:rPr>
          <w:rFonts w:ascii="Garamond" w:hAnsi="Garamond" w:cs="Times New Roman"/>
          <w:b/>
          <w:color w:val="0070C0"/>
          <w:sz w:val="28"/>
          <w:szCs w:val="28"/>
        </w:rPr>
        <w:t xml:space="preserve">- </w:t>
      </w:r>
      <w:r w:rsidR="000139BD" w:rsidRPr="0003703B">
        <w:rPr>
          <w:rFonts w:ascii="Garamond" w:hAnsi="Garamond" w:cs="Times New Roman"/>
          <w:b/>
          <w:color w:val="0070C0"/>
          <w:sz w:val="28"/>
          <w:szCs w:val="28"/>
        </w:rPr>
        <w:t xml:space="preserve">mettere in atto una </w:t>
      </w:r>
      <w:r w:rsidRPr="0003703B">
        <w:rPr>
          <w:rFonts w:ascii="Garamond" w:hAnsi="Garamond" w:cs="Times New Roman"/>
          <w:b/>
          <w:color w:val="0070C0"/>
          <w:sz w:val="28"/>
          <w:szCs w:val="28"/>
        </w:rPr>
        <w:t>didattica partecipativa e attiva;</w:t>
      </w:r>
    </w:p>
    <w:p w:rsidR="00323F32" w:rsidRPr="0003703B" w:rsidRDefault="002954FB" w:rsidP="00FD7B74">
      <w:pPr>
        <w:spacing w:after="0"/>
        <w:jc w:val="both"/>
        <w:rPr>
          <w:rFonts w:ascii="Garamond" w:hAnsi="Garamond" w:cs="Times New Roman"/>
          <w:b/>
          <w:color w:val="5F497A" w:themeColor="accent4" w:themeShade="BF"/>
          <w:sz w:val="28"/>
          <w:szCs w:val="28"/>
        </w:rPr>
      </w:pPr>
      <w:r w:rsidRPr="0003703B">
        <w:rPr>
          <w:rFonts w:ascii="Garamond" w:hAnsi="Garamond" w:cs="Times New Roman"/>
          <w:b/>
          <w:color w:val="7030A0"/>
          <w:sz w:val="28"/>
          <w:szCs w:val="28"/>
        </w:rPr>
        <w:t xml:space="preserve">- </w:t>
      </w:r>
      <w:r w:rsidR="00D234C2" w:rsidRPr="0003703B">
        <w:rPr>
          <w:rFonts w:ascii="Garamond" w:hAnsi="Garamond" w:cs="Times New Roman"/>
          <w:b/>
          <w:color w:val="7030A0"/>
          <w:sz w:val="28"/>
          <w:szCs w:val="28"/>
        </w:rPr>
        <w:t>u</w:t>
      </w:r>
      <w:r w:rsidR="000139BD" w:rsidRPr="0003703B">
        <w:rPr>
          <w:rFonts w:ascii="Garamond" w:hAnsi="Garamond" w:cs="Times New Roman"/>
          <w:b/>
          <w:color w:val="7030A0"/>
          <w:sz w:val="28"/>
          <w:szCs w:val="28"/>
        </w:rPr>
        <w:t>tilizzare</w:t>
      </w:r>
      <w:r w:rsidR="00D234C2" w:rsidRPr="0003703B">
        <w:rPr>
          <w:rFonts w:ascii="Garamond" w:hAnsi="Garamond" w:cs="Times New Roman"/>
          <w:b/>
          <w:color w:val="7030A0"/>
          <w:sz w:val="28"/>
          <w:szCs w:val="28"/>
        </w:rPr>
        <w:t xml:space="preserve"> </w:t>
      </w:r>
      <w:r w:rsidR="00F60000" w:rsidRPr="0003703B">
        <w:rPr>
          <w:rFonts w:ascii="Garamond" w:hAnsi="Garamond" w:cs="Times New Roman"/>
          <w:b/>
          <w:color w:val="7030A0"/>
          <w:sz w:val="28"/>
          <w:szCs w:val="28"/>
        </w:rPr>
        <w:t>strum</w:t>
      </w:r>
      <w:r w:rsidR="003254A6" w:rsidRPr="0003703B">
        <w:rPr>
          <w:rFonts w:ascii="Garamond" w:hAnsi="Garamond" w:cs="Times New Roman"/>
          <w:b/>
          <w:color w:val="7030A0"/>
          <w:sz w:val="28"/>
          <w:szCs w:val="28"/>
        </w:rPr>
        <w:t>e</w:t>
      </w:r>
      <w:r w:rsidR="00D234C2" w:rsidRPr="0003703B">
        <w:rPr>
          <w:rFonts w:ascii="Garamond" w:hAnsi="Garamond" w:cs="Times New Roman"/>
          <w:b/>
          <w:color w:val="7030A0"/>
          <w:sz w:val="28"/>
          <w:szCs w:val="28"/>
        </w:rPr>
        <w:t xml:space="preserve">nti tecnologici e compensativi </w:t>
      </w:r>
      <w:r w:rsidR="00D234C2" w:rsidRPr="0003703B">
        <w:rPr>
          <w:rFonts w:ascii="Garamond" w:hAnsi="Garamond" w:cs="Times New Roman"/>
          <w:b/>
          <w:color w:val="5F497A" w:themeColor="accent4" w:themeShade="BF"/>
          <w:sz w:val="28"/>
          <w:szCs w:val="28"/>
        </w:rPr>
        <w:t>(</w:t>
      </w:r>
      <w:r w:rsidR="003254A6" w:rsidRPr="0003703B">
        <w:rPr>
          <w:rFonts w:ascii="Garamond" w:hAnsi="Garamond" w:cs="Times New Roman"/>
          <w:b/>
          <w:color w:val="5F497A" w:themeColor="accent4" w:themeShade="BF"/>
          <w:sz w:val="28"/>
          <w:szCs w:val="28"/>
        </w:rPr>
        <w:t xml:space="preserve">il miglior strumento compensativo è </w:t>
      </w:r>
      <w:r w:rsidR="00AA0441" w:rsidRPr="0003703B">
        <w:rPr>
          <w:rFonts w:ascii="Garamond" w:hAnsi="Garamond" w:cs="Times New Roman"/>
          <w:b/>
          <w:color w:val="5F497A" w:themeColor="accent4" w:themeShade="BF"/>
          <w:sz w:val="28"/>
          <w:szCs w:val="28"/>
        </w:rPr>
        <w:t xml:space="preserve">il </w:t>
      </w:r>
      <w:r w:rsidR="006A003B" w:rsidRPr="0003703B">
        <w:rPr>
          <w:rFonts w:ascii="Garamond" w:hAnsi="Garamond" w:cs="Times New Roman"/>
          <w:b/>
          <w:color w:val="5F497A" w:themeColor="accent4" w:themeShade="BF"/>
          <w:sz w:val="28"/>
          <w:szCs w:val="28"/>
        </w:rPr>
        <w:t xml:space="preserve">metodo di studio. </w:t>
      </w:r>
      <w:r w:rsidR="00AE53C1" w:rsidRPr="0003703B">
        <w:rPr>
          <w:rFonts w:ascii="Garamond" w:hAnsi="Garamond" w:cs="Times New Roman"/>
          <w:b/>
          <w:color w:val="5F497A" w:themeColor="accent4" w:themeShade="BF"/>
          <w:sz w:val="28"/>
          <w:szCs w:val="28"/>
        </w:rPr>
        <w:t>Bisognerebbe ricercare e capire quale è per la geografia il metodo</w:t>
      </w:r>
      <w:r w:rsidR="000969CA" w:rsidRPr="0003703B">
        <w:rPr>
          <w:rFonts w:ascii="Garamond" w:hAnsi="Garamond" w:cs="Times New Roman"/>
          <w:b/>
          <w:color w:val="5F497A" w:themeColor="accent4" w:themeShade="BF"/>
          <w:sz w:val="28"/>
          <w:szCs w:val="28"/>
        </w:rPr>
        <w:t xml:space="preserve"> più efficace</w:t>
      </w:r>
      <w:r w:rsidR="006A003B" w:rsidRPr="0003703B">
        <w:rPr>
          <w:rFonts w:ascii="Garamond" w:hAnsi="Garamond" w:cs="Times New Roman"/>
          <w:b/>
          <w:color w:val="5F497A" w:themeColor="accent4" w:themeShade="BF"/>
          <w:sz w:val="28"/>
          <w:szCs w:val="28"/>
        </w:rPr>
        <w:t xml:space="preserve"> </w:t>
      </w:r>
      <w:r w:rsidR="00AE53C1" w:rsidRPr="0003703B">
        <w:rPr>
          <w:rFonts w:ascii="Garamond" w:hAnsi="Garamond" w:cs="Times New Roman"/>
          <w:b/>
          <w:color w:val="5F497A" w:themeColor="accent4" w:themeShade="BF"/>
          <w:sz w:val="28"/>
          <w:szCs w:val="28"/>
        </w:rPr>
        <w:t>…</w:t>
      </w:r>
      <w:r w:rsidR="006A003B" w:rsidRPr="0003703B">
        <w:rPr>
          <w:rFonts w:ascii="Garamond" w:hAnsi="Garamond" w:cs="Times New Roman"/>
          <w:b/>
          <w:color w:val="5F497A" w:themeColor="accent4" w:themeShade="BF"/>
          <w:sz w:val="28"/>
          <w:szCs w:val="28"/>
        </w:rPr>
        <w:t xml:space="preserve"> </w:t>
      </w:r>
      <w:r w:rsidR="00D234C2" w:rsidRPr="0003703B">
        <w:rPr>
          <w:rFonts w:ascii="Garamond" w:hAnsi="Garamond" w:cs="Times New Roman"/>
          <w:b/>
          <w:color w:val="5F497A" w:themeColor="accent4" w:themeShade="BF"/>
          <w:sz w:val="28"/>
          <w:szCs w:val="28"/>
        </w:rPr>
        <w:t>)</w:t>
      </w:r>
      <w:r w:rsidR="007651E4" w:rsidRPr="0003703B">
        <w:rPr>
          <w:rFonts w:ascii="Garamond" w:hAnsi="Garamond" w:cs="Times New Roman"/>
          <w:b/>
          <w:color w:val="5F497A" w:themeColor="accent4" w:themeShade="BF"/>
          <w:sz w:val="28"/>
          <w:szCs w:val="28"/>
        </w:rPr>
        <w:t>;</w:t>
      </w:r>
    </w:p>
    <w:p w:rsidR="00D234C2" w:rsidRPr="0003703B" w:rsidRDefault="00D234C2" w:rsidP="00FD7B74">
      <w:pPr>
        <w:spacing w:after="0"/>
        <w:jc w:val="both"/>
        <w:rPr>
          <w:rFonts w:ascii="Garamond" w:hAnsi="Garamond" w:cs="Times New Roman"/>
          <w:b/>
          <w:color w:val="C00000"/>
          <w:sz w:val="28"/>
          <w:szCs w:val="28"/>
        </w:rPr>
      </w:pPr>
      <w:r w:rsidRPr="0003703B">
        <w:rPr>
          <w:rFonts w:ascii="Garamond" w:hAnsi="Garamond" w:cs="Times New Roman"/>
          <w:b/>
          <w:color w:val="C00000"/>
          <w:sz w:val="28"/>
          <w:szCs w:val="28"/>
        </w:rPr>
        <w:t>-</w:t>
      </w:r>
      <w:r w:rsidR="007651E4" w:rsidRPr="0003703B">
        <w:rPr>
          <w:rFonts w:ascii="Garamond" w:hAnsi="Garamond" w:cs="Times New Roman"/>
          <w:b/>
          <w:color w:val="C00000"/>
          <w:sz w:val="28"/>
          <w:szCs w:val="28"/>
        </w:rPr>
        <w:t>puntare</w:t>
      </w:r>
      <w:r w:rsidR="002954FB" w:rsidRPr="0003703B">
        <w:rPr>
          <w:rFonts w:ascii="Garamond" w:hAnsi="Garamond" w:cs="Times New Roman"/>
          <w:b/>
          <w:color w:val="C00000"/>
          <w:sz w:val="28"/>
          <w:szCs w:val="28"/>
        </w:rPr>
        <w:t xml:space="preserve"> sulla </w:t>
      </w:r>
      <w:r w:rsidR="007651E4" w:rsidRPr="0003703B">
        <w:rPr>
          <w:rFonts w:ascii="Garamond" w:hAnsi="Garamond" w:cs="Times New Roman"/>
          <w:b/>
          <w:color w:val="C00000"/>
          <w:sz w:val="28"/>
          <w:szCs w:val="28"/>
        </w:rPr>
        <w:t xml:space="preserve">cooperazione, creatività, </w:t>
      </w:r>
      <w:proofErr w:type="spellStart"/>
      <w:r w:rsidR="007651E4" w:rsidRPr="0003703B">
        <w:rPr>
          <w:rFonts w:ascii="Garamond" w:hAnsi="Garamond" w:cs="Times New Roman"/>
          <w:b/>
          <w:color w:val="C00000"/>
          <w:sz w:val="28"/>
          <w:szCs w:val="28"/>
        </w:rPr>
        <w:t>metacognizione</w:t>
      </w:r>
      <w:proofErr w:type="spellEnd"/>
      <w:r w:rsidR="007651E4" w:rsidRPr="0003703B">
        <w:rPr>
          <w:rFonts w:ascii="Garamond" w:hAnsi="Garamond" w:cs="Times New Roman"/>
          <w:b/>
          <w:color w:val="C00000"/>
          <w:sz w:val="28"/>
          <w:szCs w:val="28"/>
        </w:rPr>
        <w:t>;</w:t>
      </w:r>
    </w:p>
    <w:p w:rsidR="007651E4" w:rsidRPr="0003703B" w:rsidRDefault="007651E4" w:rsidP="00FD7B74">
      <w:pPr>
        <w:spacing w:after="0"/>
        <w:jc w:val="both"/>
        <w:rPr>
          <w:rFonts w:ascii="Garamond" w:hAnsi="Garamond" w:cs="Times New Roman"/>
          <w:b/>
          <w:color w:val="215868" w:themeColor="accent5" w:themeShade="80"/>
          <w:sz w:val="28"/>
          <w:szCs w:val="28"/>
        </w:rPr>
      </w:pPr>
      <w:r w:rsidRPr="0003703B">
        <w:rPr>
          <w:rFonts w:ascii="Garamond" w:hAnsi="Garamond" w:cs="Times New Roman"/>
          <w:b/>
          <w:color w:val="215868" w:themeColor="accent5" w:themeShade="80"/>
          <w:sz w:val="28"/>
          <w:szCs w:val="28"/>
        </w:rPr>
        <w:t xml:space="preserve">- rafforzare nei docenti la competenza </w:t>
      </w:r>
      <w:proofErr w:type="spellStart"/>
      <w:r w:rsidRPr="0003703B">
        <w:rPr>
          <w:rFonts w:ascii="Garamond" w:hAnsi="Garamond" w:cs="Times New Roman"/>
          <w:b/>
          <w:color w:val="215868" w:themeColor="accent5" w:themeShade="80"/>
          <w:sz w:val="28"/>
          <w:szCs w:val="28"/>
        </w:rPr>
        <w:t>psico-pedagocica</w:t>
      </w:r>
      <w:proofErr w:type="spellEnd"/>
      <w:r w:rsidRPr="0003703B">
        <w:rPr>
          <w:rFonts w:ascii="Garamond" w:hAnsi="Garamond" w:cs="Times New Roman"/>
          <w:b/>
          <w:color w:val="215868" w:themeColor="accent5" w:themeShade="80"/>
          <w:sz w:val="28"/>
          <w:szCs w:val="28"/>
        </w:rPr>
        <w:t xml:space="preserve"> e d</w:t>
      </w:r>
      <w:r w:rsidR="008A5458" w:rsidRPr="0003703B">
        <w:rPr>
          <w:rFonts w:ascii="Garamond" w:hAnsi="Garamond" w:cs="Times New Roman"/>
          <w:b/>
          <w:color w:val="215868" w:themeColor="accent5" w:themeShade="80"/>
          <w:sz w:val="28"/>
          <w:szCs w:val="28"/>
        </w:rPr>
        <w:t>i</w:t>
      </w:r>
      <w:r w:rsidRPr="0003703B">
        <w:rPr>
          <w:rFonts w:ascii="Garamond" w:hAnsi="Garamond" w:cs="Times New Roman"/>
          <w:b/>
          <w:color w:val="215868" w:themeColor="accent5" w:themeShade="80"/>
          <w:sz w:val="28"/>
          <w:szCs w:val="28"/>
        </w:rPr>
        <w:t xml:space="preserve"> ricerca</w:t>
      </w:r>
      <w:r w:rsidR="000139BD" w:rsidRPr="0003703B">
        <w:rPr>
          <w:rFonts w:ascii="Garamond" w:hAnsi="Garamond" w:cs="Times New Roman"/>
          <w:b/>
          <w:color w:val="215868" w:themeColor="accent5" w:themeShade="80"/>
          <w:sz w:val="28"/>
          <w:szCs w:val="28"/>
        </w:rPr>
        <w:t>;</w:t>
      </w:r>
    </w:p>
    <w:p w:rsidR="007651E4" w:rsidRPr="0003703B" w:rsidRDefault="007651E4" w:rsidP="00FD7B74">
      <w:pPr>
        <w:spacing w:after="0"/>
        <w:jc w:val="both"/>
        <w:rPr>
          <w:rFonts w:ascii="Garamond" w:hAnsi="Garamond" w:cs="Times New Roman"/>
          <w:b/>
          <w:color w:val="E36C0A" w:themeColor="accent6" w:themeShade="BF"/>
          <w:sz w:val="28"/>
          <w:szCs w:val="28"/>
        </w:rPr>
      </w:pPr>
      <w:r w:rsidRPr="0003703B">
        <w:rPr>
          <w:rFonts w:ascii="Garamond" w:hAnsi="Garamond" w:cs="Times New Roman"/>
          <w:b/>
          <w:color w:val="FF0000"/>
          <w:sz w:val="28"/>
          <w:szCs w:val="28"/>
        </w:rPr>
        <w:t xml:space="preserve">-attuare processi di </w:t>
      </w:r>
      <w:proofErr w:type="spellStart"/>
      <w:r w:rsidRPr="0003703B">
        <w:rPr>
          <w:rFonts w:ascii="Garamond" w:hAnsi="Garamond" w:cs="Times New Roman"/>
          <w:b/>
          <w:color w:val="FF0000"/>
          <w:sz w:val="28"/>
          <w:szCs w:val="28"/>
        </w:rPr>
        <w:t>progettazione-attuazione-valutazione</w:t>
      </w:r>
      <w:proofErr w:type="spellEnd"/>
      <w:r w:rsidRPr="0003703B">
        <w:rPr>
          <w:rFonts w:ascii="Garamond" w:hAnsi="Garamond" w:cs="Times New Roman"/>
          <w:b/>
          <w:color w:val="FF0000"/>
          <w:sz w:val="28"/>
          <w:szCs w:val="28"/>
        </w:rPr>
        <w:t xml:space="preserve"> </w:t>
      </w:r>
      <w:r w:rsidRPr="0003703B">
        <w:rPr>
          <w:rFonts w:ascii="Garamond" w:hAnsi="Garamond" w:cs="Times New Roman"/>
          <w:b/>
          <w:color w:val="E36C0A" w:themeColor="accent6" w:themeShade="BF"/>
          <w:sz w:val="28"/>
          <w:szCs w:val="28"/>
        </w:rPr>
        <w:t xml:space="preserve">(nelle misure di accompagnamento alle Indicazioni 2012 </w:t>
      </w:r>
      <w:r w:rsidR="00F06508" w:rsidRPr="0003703B">
        <w:rPr>
          <w:rFonts w:ascii="Garamond" w:hAnsi="Garamond" w:cs="Times New Roman"/>
          <w:b/>
          <w:color w:val="E36C0A" w:themeColor="accent6" w:themeShade="BF"/>
          <w:sz w:val="28"/>
          <w:szCs w:val="28"/>
        </w:rPr>
        <w:t xml:space="preserve"> </w:t>
      </w:r>
      <w:r w:rsidRPr="0003703B">
        <w:rPr>
          <w:rFonts w:ascii="Garamond" w:hAnsi="Garamond" w:cs="Times New Roman"/>
          <w:b/>
          <w:color w:val="E36C0A" w:themeColor="accent6" w:themeShade="BF"/>
          <w:sz w:val="28"/>
          <w:szCs w:val="28"/>
        </w:rPr>
        <w:t>l’</w:t>
      </w:r>
      <w:r w:rsidR="00A0308F" w:rsidRPr="0003703B">
        <w:rPr>
          <w:rFonts w:ascii="Garamond" w:hAnsi="Garamond" w:cs="Times New Roman"/>
          <w:b/>
          <w:color w:val="E36C0A" w:themeColor="accent6" w:themeShade="BF"/>
          <w:sz w:val="28"/>
          <w:szCs w:val="28"/>
        </w:rPr>
        <w:t>“</w:t>
      </w:r>
      <w:proofErr w:type="spellStart"/>
      <w:r w:rsidR="00A0308F" w:rsidRPr="0003703B">
        <w:rPr>
          <w:rFonts w:ascii="Garamond" w:hAnsi="Garamond" w:cs="Times New Roman"/>
          <w:b/>
          <w:color w:val="E36C0A" w:themeColor="accent6" w:themeShade="BF"/>
          <w:sz w:val="28"/>
          <w:szCs w:val="28"/>
        </w:rPr>
        <w:t>I</w:t>
      </w:r>
      <w:r w:rsidRPr="0003703B">
        <w:rPr>
          <w:rFonts w:ascii="Garamond" w:hAnsi="Garamond" w:cs="Times New Roman"/>
          <w:b/>
          <w:color w:val="E36C0A" w:themeColor="accent6" w:themeShade="BF"/>
          <w:sz w:val="28"/>
          <w:szCs w:val="28"/>
        </w:rPr>
        <w:t>nclusività</w:t>
      </w:r>
      <w:proofErr w:type="spellEnd"/>
      <w:r w:rsidR="00A0308F" w:rsidRPr="0003703B">
        <w:rPr>
          <w:rFonts w:ascii="Garamond" w:hAnsi="Garamond" w:cs="Times New Roman"/>
          <w:b/>
          <w:color w:val="E36C0A" w:themeColor="accent6" w:themeShade="BF"/>
          <w:sz w:val="28"/>
          <w:szCs w:val="28"/>
        </w:rPr>
        <w:t>”</w:t>
      </w:r>
      <w:r w:rsidRPr="0003703B">
        <w:rPr>
          <w:rFonts w:ascii="Garamond" w:hAnsi="Garamond" w:cs="Times New Roman"/>
          <w:b/>
          <w:color w:val="E36C0A" w:themeColor="accent6" w:themeShade="BF"/>
          <w:sz w:val="28"/>
          <w:szCs w:val="28"/>
        </w:rPr>
        <w:t xml:space="preserve"> è tra i temi trasversali</w:t>
      </w:r>
      <w:r w:rsidR="00930065">
        <w:rPr>
          <w:rFonts w:ascii="Garamond" w:hAnsi="Garamond" w:cs="Times New Roman"/>
          <w:b/>
          <w:color w:val="E36C0A" w:themeColor="accent6" w:themeShade="BF"/>
          <w:sz w:val="28"/>
          <w:szCs w:val="28"/>
        </w:rPr>
        <w:t>!</w:t>
      </w:r>
      <w:r w:rsidRPr="0003703B">
        <w:rPr>
          <w:rFonts w:ascii="Garamond" w:hAnsi="Garamond" w:cs="Times New Roman"/>
          <w:b/>
          <w:color w:val="E36C0A" w:themeColor="accent6" w:themeShade="BF"/>
          <w:sz w:val="28"/>
          <w:szCs w:val="28"/>
        </w:rPr>
        <w:t>)</w:t>
      </w:r>
      <w:r w:rsidR="000139BD" w:rsidRPr="0003703B">
        <w:rPr>
          <w:rFonts w:ascii="Garamond" w:hAnsi="Garamond" w:cs="Times New Roman"/>
          <w:b/>
          <w:color w:val="E36C0A" w:themeColor="accent6" w:themeShade="BF"/>
          <w:sz w:val="28"/>
          <w:szCs w:val="28"/>
        </w:rPr>
        <w:t>;</w:t>
      </w:r>
    </w:p>
    <w:p w:rsidR="000139BD" w:rsidRPr="0003703B" w:rsidRDefault="000139BD" w:rsidP="00FD7B74">
      <w:pPr>
        <w:spacing w:after="0"/>
        <w:jc w:val="both"/>
        <w:rPr>
          <w:rFonts w:ascii="Garamond" w:hAnsi="Garamond" w:cs="Times New Roman"/>
          <w:b/>
          <w:color w:val="002060"/>
          <w:sz w:val="28"/>
          <w:szCs w:val="28"/>
        </w:rPr>
      </w:pPr>
      <w:r w:rsidRPr="0003703B">
        <w:rPr>
          <w:rFonts w:ascii="Garamond" w:hAnsi="Garamond" w:cs="Times New Roman"/>
          <w:b/>
          <w:color w:val="002060"/>
          <w:sz w:val="28"/>
          <w:szCs w:val="28"/>
        </w:rPr>
        <w:t>- creare gruppi di ricerca-formazione;</w:t>
      </w:r>
    </w:p>
    <w:p w:rsidR="000139BD" w:rsidRPr="0003703B" w:rsidRDefault="000139BD" w:rsidP="000139BD">
      <w:pPr>
        <w:spacing w:after="0"/>
        <w:jc w:val="both"/>
        <w:rPr>
          <w:rFonts w:ascii="Garamond" w:hAnsi="Garamond" w:cs="Times New Roman"/>
          <w:b/>
          <w:color w:val="943634" w:themeColor="accent2" w:themeShade="BF"/>
          <w:sz w:val="28"/>
          <w:szCs w:val="28"/>
        </w:rPr>
      </w:pPr>
      <w:r w:rsidRPr="0003703B">
        <w:rPr>
          <w:rFonts w:ascii="Garamond" w:hAnsi="Garamond" w:cs="Times New Roman"/>
          <w:b/>
          <w:color w:val="943634" w:themeColor="accent2" w:themeShade="BF"/>
          <w:sz w:val="28"/>
          <w:szCs w:val="28"/>
        </w:rPr>
        <w:t>- lavorare per reti di scuola</w:t>
      </w:r>
      <w:r w:rsidR="00930065">
        <w:rPr>
          <w:rFonts w:ascii="Garamond" w:hAnsi="Garamond" w:cs="Times New Roman"/>
          <w:b/>
          <w:color w:val="943634" w:themeColor="accent2" w:themeShade="BF"/>
          <w:sz w:val="28"/>
          <w:szCs w:val="28"/>
        </w:rPr>
        <w:t xml:space="preserve"> con supporto delle associazioni</w:t>
      </w:r>
      <w:r w:rsidR="007C34EF">
        <w:rPr>
          <w:rFonts w:ascii="Garamond" w:hAnsi="Garamond" w:cs="Times New Roman"/>
          <w:b/>
          <w:color w:val="943634" w:themeColor="accent2" w:themeShade="BF"/>
          <w:sz w:val="28"/>
          <w:szCs w:val="28"/>
        </w:rPr>
        <w:t xml:space="preserve"> professionali</w:t>
      </w:r>
      <w:r w:rsidRPr="0003703B">
        <w:rPr>
          <w:rFonts w:ascii="Garamond" w:hAnsi="Garamond" w:cs="Times New Roman"/>
          <w:b/>
          <w:color w:val="943634" w:themeColor="accent2" w:themeShade="BF"/>
          <w:sz w:val="28"/>
          <w:szCs w:val="28"/>
        </w:rPr>
        <w:t>;</w:t>
      </w:r>
    </w:p>
    <w:p w:rsidR="000139BD" w:rsidRPr="0003703B" w:rsidRDefault="000139BD" w:rsidP="000139BD">
      <w:pPr>
        <w:spacing w:after="0"/>
        <w:jc w:val="both"/>
        <w:rPr>
          <w:rFonts w:ascii="Garamond" w:hAnsi="Garamond" w:cs="Times New Roman"/>
          <w:b/>
          <w:color w:val="4F81BD" w:themeColor="accent1"/>
          <w:sz w:val="28"/>
          <w:szCs w:val="28"/>
        </w:rPr>
      </w:pPr>
      <w:r w:rsidRPr="0003703B">
        <w:rPr>
          <w:rFonts w:ascii="Garamond" w:hAnsi="Garamond" w:cs="Times New Roman"/>
          <w:b/>
          <w:color w:val="4F81BD" w:themeColor="accent1"/>
          <w:sz w:val="28"/>
          <w:szCs w:val="28"/>
        </w:rPr>
        <w:t>- divul</w:t>
      </w:r>
      <w:r w:rsidR="00930065">
        <w:rPr>
          <w:rFonts w:ascii="Garamond" w:hAnsi="Garamond" w:cs="Times New Roman"/>
          <w:b/>
          <w:color w:val="4F81BD" w:themeColor="accent1"/>
          <w:sz w:val="28"/>
          <w:szCs w:val="28"/>
        </w:rPr>
        <w:t xml:space="preserve">gare </w:t>
      </w:r>
      <w:r w:rsidRPr="0003703B">
        <w:rPr>
          <w:rFonts w:ascii="Garamond" w:hAnsi="Garamond" w:cs="Times New Roman"/>
          <w:b/>
          <w:color w:val="4F81BD" w:themeColor="accent1"/>
          <w:sz w:val="28"/>
          <w:szCs w:val="28"/>
        </w:rPr>
        <w:t>buone prassi.</w:t>
      </w:r>
    </w:p>
    <w:p w:rsidR="000139BD" w:rsidRPr="00114297" w:rsidRDefault="000139BD" w:rsidP="000139BD">
      <w:pPr>
        <w:spacing w:after="0"/>
        <w:jc w:val="both"/>
        <w:rPr>
          <w:rFonts w:ascii="Garamond" w:hAnsi="Garamond" w:cs="Times New Roman"/>
          <w:sz w:val="28"/>
          <w:szCs w:val="28"/>
        </w:rPr>
      </w:pPr>
    </w:p>
    <w:p w:rsidR="00D234C2" w:rsidRPr="00114297" w:rsidRDefault="00D234C2">
      <w:pPr>
        <w:spacing w:after="0"/>
        <w:jc w:val="both"/>
        <w:rPr>
          <w:rFonts w:ascii="Garamond" w:hAnsi="Garamond" w:cs="Times New Roman"/>
          <w:sz w:val="28"/>
          <w:szCs w:val="28"/>
        </w:rPr>
      </w:pPr>
    </w:p>
    <w:sectPr w:rsidR="00D234C2" w:rsidRPr="00114297" w:rsidSect="00C70A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7B74"/>
    <w:rsid w:val="000139BD"/>
    <w:rsid w:val="00033694"/>
    <w:rsid w:val="0003703B"/>
    <w:rsid w:val="000969CA"/>
    <w:rsid w:val="00114297"/>
    <w:rsid w:val="00167556"/>
    <w:rsid w:val="001B14C2"/>
    <w:rsid w:val="00292824"/>
    <w:rsid w:val="002954FB"/>
    <w:rsid w:val="002B27AB"/>
    <w:rsid w:val="00323F32"/>
    <w:rsid w:val="003254A6"/>
    <w:rsid w:val="004444F1"/>
    <w:rsid w:val="00497A88"/>
    <w:rsid w:val="004A3CD1"/>
    <w:rsid w:val="004A5536"/>
    <w:rsid w:val="005F1B58"/>
    <w:rsid w:val="00641A5D"/>
    <w:rsid w:val="006A003B"/>
    <w:rsid w:val="007651E4"/>
    <w:rsid w:val="00782F29"/>
    <w:rsid w:val="007C34EF"/>
    <w:rsid w:val="008812CF"/>
    <w:rsid w:val="00887F1F"/>
    <w:rsid w:val="008A5458"/>
    <w:rsid w:val="00900E4B"/>
    <w:rsid w:val="0090119B"/>
    <w:rsid w:val="00930065"/>
    <w:rsid w:val="00960A59"/>
    <w:rsid w:val="00977FEC"/>
    <w:rsid w:val="00A0308F"/>
    <w:rsid w:val="00A8266E"/>
    <w:rsid w:val="00AA0441"/>
    <w:rsid w:val="00AE31CC"/>
    <w:rsid w:val="00AE53C1"/>
    <w:rsid w:val="00BC078A"/>
    <w:rsid w:val="00BD3292"/>
    <w:rsid w:val="00C07471"/>
    <w:rsid w:val="00C579D8"/>
    <w:rsid w:val="00C70A41"/>
    <w:rsid w:val="00CD4FAE"/>
    <w:rsid w:val="00D15E2B"/>
    <w:rsid w:val="00D234C2"/>
    <w:rsid w:val="00E5381E"/>
    <w:rsid w:val="00F06508"/>
    <w:rsid w:val="00F52AAC"/>
    <w:rsid w:val="00F60000"/>
    <w:rsid w:val="00FD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A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80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7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5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3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1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73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67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it/url?sa=i&amp;rct=j&amp;q=&amp;esrc=s&amp;source=images&amp;cd=&amp;cad=rja&amp;docid=raTmudcynikDBM&amp;tbnid=z8RBUO6TAPph_M:&amp;ved=0CAUQjRw&amp;url=http://www.nanopress.it/notizielocali/savignano-sul-rubicone/foto/&amp;ei=LdnLUuq6J6HH0QX6h4CYDA&amp;psig=AFQjCNHet-6ce3lNY_cSqEiUcYbw9mwMVA&amp;ust=138917737998742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hp</cp:lastModifiedBy>
  <cp:revision>46</cp:revision>
  <dcterms:created xsi:type="dcterms:W3CDTF">2013-12-22T13:40:00Z</dcterms:created>
  <dcterms:modified xsi:type="dcterms:W3CDTF">2014-03-19T19:21:00Z</dcterms:modified>
</cp:coreProperties>
</file>